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725D10">
      <w:pPr>
        <w:pStyle w:val="12"/>
        <w:widowControl/>
        <w:spacing w:line="640" w:lineRule="exact"/>
        <w:ind w:left="0" w:leftChars="0" w:firstLine="0" w:firstLineChars="0"/>
        <w:jc w:val="center"/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</w:p>
    <w:p w14:paraId="221E0050">
      <w:pPr>
        <w:pStyle w:val="12"/>
        <w:widowControl/>
        <w:spacing w:line="640" w:lineRule="exact"/>
        <w:ind w:left="0" w:leftChars="0" w:firstLine="0" w:firstLineChars="0"/>
        <w:jc w:val="center"/>
        <w:rPr>
          <w:rFonts w:hint="eastAsia" w:ascii="方正小标宋简体" w:hAnsi="Times New Roman" w:eastAsia="方正小标宋简体"/>
          <w:b w:val="0"/>
          <w:bCs w:val="0"/>
          <w:spacing w:val="-6"/>
          <w:sz w:val="44"/>
          <w:szCs w:val="44"/>
          <w:lang w:eastAsia="zh-CN"/>
        </w:rPr>
      </w:pP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  <w:lang w:eastAsia="zh-CN"/>
        </w:rPr>
        <w:t>关于</w:t>
      </w: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</w:rPr>
        <w:t>第</w:t>
      </w: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三</w:t>
      </w: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</w:rPr>
        <w:t>轮</w:t>
      </w: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  <w:lang w:eastAsia="zh-CN"/>
        </w:rPr>
        <w:t>省级</w:t>
      </w:r>
      <w:r>
        <w:rPr>
          <w:rFonts w:hint="eastAsia" w:ascii="宋体" w:hAnsi="宋体" w:eastAsia="方正小标宋简体"/>
          <w:b w:val="0"/>
          <w:bCs w:val="0"/>
          <w:color w:val="auto"/>
          <w:kern w:val="0"/>
          <w:sz w:val="44"/>
          <w:szCs w:val="44"/>
        </w:rPr>
        <w:t>生态环境保护督察</w:t>
      </w:r>
      <w:r>
        <w:rPr>
          <w:rFonts w:hint="eastAsia" w:ascii="方正小标宋简体" w:hAnsi="Times New Roman" w:eastAsia="方正小标宋简体"/>
          <w:b w:val="0"/>
          <w:bCs w:val="0"/>
          <w:sz w:val="44"/>
          <w:szCs w:val="44"/>
        </w:rPr>
        <w:t>第</w:t>
      </w:r>
      <w:r>
        <w:rPr>
          <w:rFonts w:hint="eastAsia" w:ascii="方正小标宋简体" w:eastAsia="方正小标宋简体"/>
          <w:b w:val="0"/>
          <w:bCs w:val="0"/>
          <w:sz w:val="44"/>
          <w:szCs w:val="44"/>
          <w:lang w:val="en-US" w:eastAsia="zh-CN"/>
        </w:rPr>
        <w:t>13</w:t>
      </w:r>
      <w:r>
        <w:rPr>
          <w:rFonts w:hint="eastAsia" w:ascii="方正小标宋简体" w:hAnsi="Times New Roman" w:eastAsia="方正小标宋简体"/>
          <w:b w:val="0"/>
          <w:bCs w:val="0"/>
          <w:sz w:val="44"/>
          <w:szCs w:val="44"/>
        </w:rPr>
        <w:t>项整改任务验收销</w:t>
      </w:r>
      <w:r>
        <w:rPr>
          <w:rFonts w:hint="eastAsia" w:ascii="方正小标宋简体" w:hAnsi="Times New Roman" w:eastAsia="方正小标宋简体"/>
          <w:b w:val="0"/>
          <w:bCs w:val="0"/>
          <w:spacing w:val="-6"/>
          <w:sz w:val="44"/>
          <w:szCs w:val="44"/>
        </w:rPr>
        <w:t>号</w:t>
      </w:r>
      <w:r>
        <w:rPr>
          <w:rFonts w:hint="eastAsia" w:ascii="方正小标宋简体" w:hAnsi="Times New Roman" w:eastAsia="方正小标宋简体"/>
          <w:b w:val="0"/>
          <w:bCs w:val="0"/>
          <w:spacing w:val="-6"/>
          <w:sz w:val="44"/>
          <w:szCs w:val="44"/>
          <w:lang w:eastAsia="zh-CN"/>
        </w:rPr>
        <w:t>情况公示</w:t>
      </w:r>
    </w:p>
    <w:p w14:paraId="407F4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jc w:val="both"/>
        <w:rPr>
          <w:rFonts w:hint="eastAsia" w:ascii="宋体" w:hAnsi="宋体" w:cs="仿宋_GB2312"/>
          <w:lang w:val="en-US" w:eastAsia="zh-CN"/>
        </w:rPr>
      </w:pPr>
      <w:r>
        <w:rPr>
          <w:rFonts w:hint="eastAsia" w:ascii="宋体" w:hAnsi="宋体" w:cs="仿宋_GB2312"/>
          <w:lang w:val="en-US" w:eastAsia="zh-CN"/>
        </w:rPr>
        <w:t xml:space="preserve">   </w:t>
      </w:r>
    </w:p>
    <w:p w14:paraId="76FB4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rPr>
          <w:rFonts w:hint="eastAsia" w:ascii="宋体" w:hAnsi="宋体" w:cs="仿宋_GB2312"/>
          <w:lang w:eastAsia="zh-CN"/>
        </w:rPr>
      </w:pPr>
      <w:r>
        <w:rPr>
          <w:rFonts w:hint="eastAsia" w:ascii="宋体" w:hAnsi="宋体" w:cs="仿宋_GB2312"/>
        </w:rPr>
        <w:t>我</w:t>
      </w:r>
      <w:r>
        <w:rPr>
          <w:rFonts w:hint="eastAsia" w:ascii="宋体" w:hAnsi="宋体"/>
          <w:b w:val="0"/>
          <w:bCs w:val="0"/>
          <w:sz w:val="32"/>
          <w:szCs w:val="32"/>
          <w:lang w:val="en-US" w:eastAsia="zh-CN"/>
        </w:rPr>
        <w:t>单位</w:t>
      </w:r>
      <w:r>
        <w:rPr>
          <w:rFonts w:hint="eastAsia" w:ascii="宋体" w:hAnsi="宋体" w:cs="仿宋_GB2312"/>
        </w:rPr>
        <w:t>对已完成第</w:t>
      </w:r>
      <w:r>
        <w:rPr>
          <w:rFonts w:hint="eastAsia" w:ascii="宋体" w:hAnsi="宋体" w:cs="仿宋_GB2312"/>
          <w:lang w:eastAsia="zh-CN"/>
        </w:rPr>
        <w:t>三</w:t>
      </w:r>
      <w:r>
        <w:rPr>
          <w:rFonts w:hint="eastAsia" w:ascii="宋体" w:hAnsi="宋体" w:cs="仿宋_GB2312"/>
        </w:rPr>
        <w:t>轮省级生态环境保护督察第</w:t>
      </w:r>
      <w:r>
        <w:rPr>
          <w:rFonts w:hint="eastAsia" w:ascii="宋体" w:hAnsi="宋体" w:cs="仿宋_GB2312"/>
          <w:lang w:val="en-US" w:eastAsia="zh-CN"/>
        </w:rPr>
        <w:t>13</w:t>
      </w:r>
      <w:r>
        <w:rPr>
          <w:rFonts w:hint="eastAsia" w:ascii="宋体" w:hAnsi="宋体" w:cs="仿宋_GB2312"/>
        </w:rPr>
        <w:t>项整改任务相关内容</w:t>
      </w:r>
      <w:r>
        <w:rPr>
          <w:rFonts w:hint="eastAsia" w:ascii="宋体" w:hAnsi="宋体" w:cs="仿宋_GB2312"/>
          <w:lang w:eastAsia="zh-CN"/>
        </w:rPr>
        <w:t>，根据市生态环境保护工作委员会有关通知要求，现将整改完成情况予以公示。公示时间自发布之日起</w:t>
      </w:r>
      <w:r>
        <w:rPr>
          <w:rFonts w:hint="eastAsia" w:ascii="宋体" w:hAnsi="宋体" w:cs="仿宋_GB2312"/>
          <w:lang w:val="en-US" w:eastAsia="zh-CN"/>
        </w:rPr>
        <w:t>10个工作日，</w:t>
      </w:r>
      <w:r>
        <w:rPr>
          <w:rFonts w:hint="eastAsia" w:ascii="宋体" w:hAnsi="宋体" w:cs="仿宋_GB2312"/>
          <w:lang w:eastAsia="zh-CN"/>
        </w:rPr>
        <w:t>如有意见和建议，请向威海市市场监督管理局反映，反映方式为来人或署名来信（包括电子信函），对匿名方式提出异议的不予受理。</w:t>
      </w:r>
    </w:p>
    <w:p w14:paraId="10C09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邮政地址：威海市海滨南路</w:t>
      </w:r>
      <w:r>
        <w:rPr>
          <w:rFonts w:hint="eastAsia" w:ascii="仿宋_GB2312" w:hAnsi="仿宋_GB2312" w:eastAsia="仿宋_GB2312" w:cs="仿宋_GB2312"/>
          <w:lang w:val="en-US" w:eastAsia="zh-CN"/>
        </w:rPr>
        <w:t>49</w:t>
      </w:r>
      <w:r>
        <w:rPr>
          <w:rFonts w:hint="eastAsia" w:ascii="仿宋_GB2312" w:hAnsi="仿宋_GB2312" w:eastAsia="仿宋_GB2312" w:cs="仿宋_GB2312"/>
          <w:lang w:eastAsia="zh-CN"/>
        </w:rPr>
        <w:t>号</w:t>
      </w:r>
    </w:p>
    <w:p w14:paraId="5DCD5D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邮政编码：264200</w:t>
      </w:r>
    </w:p>
    <w:p w14:paraId="36B999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jc w:val="both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电子邮箱：</w:t>
      </w:r>
      <w:r>
        <w:rPr>
          <w:rFonts w:hint="eastAsia" w:ascii="仿宋_GB2312" w:hAnsi="仿宋_GB2312" w:eastAsia="仿宋_GB2312" w:cs="仿宋_GB2312"/>
          <w:lang w:val="en-US" w:eastAsia="zh-CN"/>
        </w:rPr>
        <w:t>sscjgjtjk</w:t>
      </w:r>
      <w:r>
        <w:rPr>
          <w:rFonts w:hint="eastAsia" w:ascii="仿宋_GB2312" w:hAnsi="仿宋_GB2312" w:eastAsia="仿宋_GB2312" w:cs="仿宋_GB231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lang w:val="en-US" w:eastAsia="zh-CN"/>
        </w:rPr>
        <w:instrText xml:space="preserve"> HYPERLINK "mailto:scjgjrzk@wh.shandong.cn" </w:instrText>
      </w:r>
      <w:r>
        <w:rPr>
          <w:rFonts w:hint="eastAsia" w:ascii="仿宋_GB2312" w:hAnsi="仿宋_GB2312" w:eastAsia="仿宋_GB2312" w:cs="仿宋_GB2312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lang w:val="en-US" w:eastAsia="zh-CN"/>
        </w:rPr>
        <w:t>@wh.shandong.cn</w:t>
      </w:r>
      <w:r>
        <w:rPr>
          <w:rFonts w:hint="eastAsia" w:ascii="仿宋_GB2312" w:hAnsi="仿宋_GB2312" w:eastAsia="仿宋_GB2312" w:cs="仿宋_GB2312"/>
          <w:lang w:val="en-US" w:eastAsia="zh-CN"/>
        </w:rPr>
        <w:fldChar w:fldCharType="end"/>
      </w:r>
    </w:p>
    <w:p w14:paraId="41B5D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电</w:t>
      </w:r>
      <w:r>
        <w:rPr>
          <w:rFonts w:hint="eastAsia" w:ascii="仿宋_GB2312" w:hAnsi="仿宋_GB2312" w:cs="仿宋_GB2312"/>
          <w:lang w:eastAsia="zh-CN"/>
        </w:rPr>
        <w:t>　　</w:t>
      </w:r>
      <w:r>
        <w:rPr>
          <w:rFonts w:hint="eastAsia" w:ascii="仿宋_GB2312" w:hAnsi="仿宋_GB2312" w:eastAsia="仿宋_GB2312" w:cs="仿宋_GB2312"/>
          <w:lang w:eastAsia="zh-CN"/>
        </w:rPr>
        <w:t>话：0631-</w:t>
      </w:r>
      <w:r>
        <w:rPr>
          <w:rFonts w:hint="eastAsia" w:ascii="仿宋_GB2312" w:hAnsi="仿宋_GB2312" w:eastAsia="仿宋_GB2312" w:cs="仿宋_GB2312"/>
          <w:lang w:val="en-US" w:eastAsia="zh-CN"/>
        </w:rPr>
        <w:t>5211839</w:t>
      </w:r>
    </w:p>
    <w:p w14:paraId="648483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0" w:firstLineChars="0"/>
        <w:jc w:val="center"/>
        <w:textAlignment w:val="bottom"/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</w:pPr>
      <w:r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  <w:br w:type="page"/>
      </w:r>
    </w:p>
    <w:p w14:paraId="315DFA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firstLine="0" w:firstLineChars="0"/>
        <w:jc w:val="center"/>
        <w:textAlignment w:val="bottom"/>
        <w:rPr>
          <w:rFonts w:ascii="宋体" w:hAnsi="宋体" w:eastAsia="方正小标宋简体" w:cs="Times New Roman"/>
          <w:b w:val="0"/>
          <w:bCs w:val="0"/>
          <w:color w:val="auto"/>
          <w:spacing w:val="-6"/>
          <w:sz w:val="44"/>
          <w:szCs w:val="44"/>
          <w:lang w:val="en-US" w:eastAsia="zh-CN" w:bidi="ar-SA"/>
        </w:rPr>
      </w:pPr>
      <w:r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  <w:t>第三轮省级生态环境保护督察</w:t>
      </w:r>
      <w:r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 w:bidi="ar-SA"/>
        </w:rPr>
        <w:t>13</w:t>
      </w:r>
      <w:r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  <w:t>项</w:t>
      </w:r>
      <w:r>
        <w:rPr>
          <w:rFonts w:hint="eastAsia" w:ascii="宋体" w:hAnsi="宋体" w:eastAsia="方正小标宋简体" w:cs="Times New Roman"/>
          <w:b w:val="0"/>
          <w:bCs w:val="0"/>
          <w:color w:val="auto"/>
          <w:sz w:val="44"/>
          <w:szCs w:val="44"/>
          <w:lang w:val="en-US" w:eastAsia="zh-CN" w:bidi="ar-SA"/>
        </w:rPr>
        <w:t>整改任务验收销</w:t>
      </w:r>
      <w:r>
        <w:rPr>
          <w:rFonts w:hint="eastAsia" w:ascii="宋体" w:hAnsi="宋体" w:eastAsia="方正小标宋简体" w:cs="Times New Roman"/>
          <w:b w:val="0"/>
          <w:bCs w:val="0"/>
          <w:color w:val="auto"/>
          <w:spacing w:val="-6"/>
          <w:sz w:val="44"/>
          <w:szCs w:val="44"/>
          <w:lang w:val="en-US" w:eastAsia="zh-CN" w:bidi="ar-SA"/>
        </w:rPr>
        <w:t>号确认表</w:t>
      </w:r>
    </w:p>
    <w:p w14:paraId="1B4F85C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firstLine="0" w:firstLineChars="0"/>
        <w:jc w:val="center"/>
        <w:textAlignment w:val="bottom"/>
        <w:rPr>
          <w:rFonts w:ascii="宋体" w:hAnsi="宋体" w:eastAsia="方正小标宋简体" w:cs="Times New Roman"/>
          <w:b w:val="0"/>
          <w:bCs w:val="0"/>
          <w:color w:val="auto"/>
          <w:sz w:val="15"/>
          <w:szCs w:val="15"/>
          <w:lang w:val="en-US" w:eastAsia="zh-CN" w:bidi="ar-SA"/>
        </w:rPr>
      </w:pPr>
    </w:p>
    <w:p w14:paraId="23C4D0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6" w:lineRule="auto"/>
        <w:ind w:left="0" w:firstLine="0" w:firstLineChars="0"/>
        <w:jc w:val="both"/>
        <w:textAlignment w:val="bottom"/>
        <w:rPr>
          <w:rFonts w:ascii="宋体" w:hAnsi="宋体" w:eastAsia="楷体_GB2312" w:cs="Times New Roman"/>
          <w:b w:val="0"/>
          <w:bCs w:val="0"/>
          <w:color w:val="auto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Times New Roman"/>
          <w:b w:val="0"/>
          <w:bCs w:val="0"/>
          <w:color w:val="auto"/>
          <w:sz w:val="32"/>
          <w:szCs w:val="32"/>
          <w:lang w:val="en-US" w:eastAsia="zh-CN" w:bidi="ar-SA"/>
        </w:rPr>
        <w:t xml:space="preserve">填报单位：威海市市场监管管理局 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1"/>
        <w:gridCol w:w="6015"/>
      </w:tblGrid>
      <w:tr w14:paraId="28EA9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3" w:hRule="atLeast"/>
          <w:jc w:val="center"/>
        </w:trPr>
        <w:tc>
          <w:tcPr>
            <w:tcW w:w="2671" w:type="dxa"/>
            <w:noWrap w:val="0"/>
            <w:vAlign w:val="center"/>
          </w:tcPr>
          <w:p w14:paraId="77263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整改任务</w:t>
            </w:r>
          </w:p>
        </w:tc>
        <w:tc>
          <w:tcPr>
            <w:tcW w:w="6015" w:type="dxa"/>
            <w:noWrap w:val="0"/>
            <w:vAlign w:val="top"/>
          </w:tcPr>
          <w:p w14:paraId="78CEB75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default" w:ascii="宋体" w:hAnsi="宋体" w:eastAsia="楷体_GB2312"/>
                <w:b w:val="0"/>
                <w:bCs w:val="0"/>
                <w:color w:val="auto"/>
                <w:kern w:val="0"/>
                <w:sz w:val="36"/>
                <w:szCs w:val="36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督察发现，</w:t>
            </w:r>
            <w:r>
              <w:rPr>
                <w:rFonts w:hint="eastAsia" w:ascii="仿宋_GB2312" w:hAnsi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荣成市燃煤锅炉淘汰排查不细，工作推进不实。2022年，荣成市好运角旅游度假区管理委员会擅自将已淘汰的1台30蒸吨燃煤锅炉和1台20蒸吨燃煤锅炉迁建至威海顺源热力有限公司作为应急备用锅炉；荣成市大鱼岛渔港码头1台0.2蒸吨燃煤锅炉在用。</w:t>
            </w:r>
          </w:p>
        </w:tc>
      </w:tr>
      <w:tr w14:paraId="448D4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  <w:jc w:val="center"/>
        </w:trPr>
        <w:tc>
          <w:tcPr>
            <w:tcW w:w="2671" w:type="dxa"/>
            <w:noWrap w:val="0"/>
            <w:vAlign w:val="center"/>
          </w:tcPr>
          <w:p w14:paraId="68E5DC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整改目标</w:t>
            </w:r>
          </w:p>
          <w:p w14:paraId="613E2B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及完成情况</w:t>
            </w:r>
          </w:p>
        </w:tc>
        <w:tc>
          <w:tcPr>
            <w:tcW w:w="6015" w:type="dxa"/>
            <w:noWrap w:val="0"/>
            <w:vAlign w:val="top"/>
          </w:tcPr>
          <w:p w14:paraId="2259A2D7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整改目标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：</w:t>
            </w:r>
            <w:r>
              <w:rPr>
                <w:rFonts w:hint="eastAsia" w:ascii="仿宋_GB2312" w:hAnsi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全面拆除35蒸吨/小时及以下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燃煤锅炉</w:t>
            </w:r>
          </w:p>
          <w:p w14:paraId="3DF88445">
            <w:pPr>
              <w:pStyle w:val="2"/>
              <w:spacing w:line="360" w:lineRule="auto"/>
              <w:rPr>
                <w:rFonts w:hint="default" w:ascii="宋体" w:hAnsi="宋体" w:eastAsia="楷体_GB2312"/>
                <w:b w:val="0"/>
                <w:bCs w:val="0"/>
                <w:color w:val="auto"/>
                <w:kern w:val="0"/>
                <w:sz w:val="36"/>
                <w:szCs w:val="36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完成情况：</w:t>
            </w:r>
            <w:r>
              <w:rPr>
                <w:rFonts w:hint="eastAsia" w:ascii="仿宋_GB2312" w:hAnsi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已配合生态环境部门全面拆除35蒸吨/小时及以下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燃煤锅炉</w:t>
            </w:r>
            <w:r>
              <w:rPr>
                <w:rFonts w:hint="eastAsia" w:ascii="仿宋_GB2312" w:hAnsi="仿宋_GB2312" w:cs="仿宋_GB2312"/>
                <w:i w:val="0"/>
                <w:caps w:val="0"/>
                <w:color w:val="0F1115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，并做好拆除锅炉使用登记注销工作</w:t>
            </w:r>
          </w:p>
        </w:tc>
      </w:tr>
      <w:tr w14:paraId="6C7FE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6" w:hRule="atLeast"/>
          <w:jc w:val="center"/>
        </w:trPr>
        <w:tc>
          <w:tcPr>
            <w:tcW w:w="2671" w:type="dxa"/>
            <w:noWrap w:val="0"/>
            <w:vAlign w:val="center"/>
          </w:tcPr>
          <w:p w14:paraId="3C8136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整改措施及</w:t>
            </w:r>
          </w:p>
          <w:p w14:paraId="24817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具体落实情况</w:t>
            </w:r>
          </w:p>
        </w:tc>
        <w:tc>
          <w:tcPr>
            <w:tcW w:w="6015" w:type="dxa"/>
            <w:noWrap w:val="0"/>
            <w:vAlign w:val="top"/>
          </w:tcPr>
          <w:p w14:paraId="746C21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482" w:firstLineChars="20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eastAsia="zh-CN"/>
              </w:rPr>
              <w:t>整改措施：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（一）2024年8月底前，完成荣成市大鱼岛渔港码头1台0.2蒸吨燃煤锅炉拆除、威海顺源热力有限公司1台30蒸吨/小时和1台20蒸吨/小时燃煤锅炉主体拆除、所有连接管道和线路切断等淘汰拆除工作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并对燃煤锅炉淘汰过程中发现的问题依法依规调查处置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。（二）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市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生态环境局、市市场监管局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督促荣成市于2024年12月底前完成燃煤锅炉排查整治工作“回头看”，加大35蒸吨/小时及以下燃煤锅炉排查淘汰力度，发现一台、淘汰一台，确保不出遗漏、不留死角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巩固燃煤锅炉拆除整治工作成果，坚决杜绝35蒸吨/小时及以下燃煤锅炉问题死灰复燃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eastAsia="zh-CN"/>
              </w:rPr>
              <w:t>。</w:t>
            </w:r>
          </w:p>
          <w:p w14:paraId="18351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482" w:firstLineChars="200"/>
              <w:jc w:val="left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6"/>
                <w:szCs w:val="36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eastAsia="zh-CN"/>
              </w:rPr>
              <w:t>具体落实情况：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（一）已于2024年8月底前，完成荣成市大鱼岛渔港码头1台0.2蒸吨燃煤锅炉拆除、威海顺源热力有限公司1台30蒸吨/小时和1台20蒸吨/小时燃煤锅炉主体拆除、所有连接管道和线路切断等淘汰拆除工作。燃煤锅炉淘汰过程未发现问题。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二）督促荣成市于2024年12月底前完成燃煤锅炉排查整治工作“回头看”，加大35蒸吨/小时及以下燃煤锅炉排查淘汰力度，发现一台、淘汰一台，确保不出遗漏、不留死角。“回头看”中未发现燃煤锅炉应淘汰未淘汰情况。</w:t>
            </w:r>
          </w:p>
        </w:tc>
      </w:tr>
      <w:tr w14:paraId="11DDC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671" w:type="dxa"/>
            <w:noWrap w:val="0"/>
            <w:vAlign w:val="center"/>
          </w:tcPr>
          <w:p w14:paraId="01896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0"/>
              <w:jc w:val="center"/>
              <w:textAlignment w:val="bottom"/>
              <w:rPr>
                <w:rFonts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楷体_GB2312"/>
                <w:b w:val="0"/>
                <w:bCs w:val="0"/>
                <w:color w:val="auto"/>
                <w:kern w:val="0"/>
                <w:sz w:val="32"/>
                <w:szCs w:val="32"/>
              </w:rPr>
              <w:t>销号情况</w:t>
            </w:r>
          </w:p>
        </w:tc>
        <w:tc>
          <w:tcPr>
            <w:tcW w:w="6015" w:type="dxa"/>
            <w:noWrap w:val="0"/>
            <w:vAlign w:val="center"/>
          </w:tcPr>
          <w:p w14:paraId="781B91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6" w:lineRule="auto"/>
              <w:ind w:left="0" w:firstLine="480" w:firstLineChars="20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2024年12月组织现场验收</w:t>
            </w:r>
            <w:r>
              <w:rPr>
                <w:rFonts w:hint="eastAsia" w:ascii="仿宋_GB2312" w:hAnsi="仿宋_GB2312" w:cs="仿宋_GB2312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。</w:t>
            </w:r>
            <w:bookmarkStart w:id="0" w:name="_GoBack"/>
            <w:bookmarkEnd w:id="0"/>
          </w:p>
        </w:tc>
      </w:tr>
    </w:tbl>
    <w:p w14:paraId="5048C477"/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46" w:lineRule="auto"/>
      </w:pPr>
      <w:r>
        <w:separator/>
      </w:r>
    </w:p>
  </w:footnote>
  <w:footnote w:type="continuationSeparator" w:id="1">
    <w:p>
      <w:pPr>
        <w:spacing w:line="34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6F83A8"/>
    <w:rsid w:val="2C751256"/>
    <w:rsid w:val="7B6F83A8"/>
    <w:rsid w:val="F24A06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46" w:lineRule="auto"/>
      <w:ind w:left="1" w:firstLine="419"/>
      <w:jc w:val="both"/>
      <w:textAlignment w:val="bottom"/>
    </w:pPr>
    <w:rPr>
      <w:rFonts w:ascii="Times New Roman" w:hAnsi="Times New Roman" w:eastAsia="仿宋_GB2312" w:cs="Times New Roman"/>
      <w:sz w:val="32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rFonts w:ascii="Times New Roman" w:hAnsi="Times New Roman"/>
    </w:rPr>
  </w:style>
  <w:style w:type="paragraph" w:styleId="3">
    <w:name w:val="toc 2"/>
    <w:basedOn w:val="1"/>
    <w:next w:val="1"/>
    <w:semiHidden/>
    <w:qFormat/>
    <w:uiPriority w:val="0"/>
    <w:pPr>
      <w:ind w:left="420" w:leftChars="200"/>
    </w:pPr>
  </w:style>
  <w:style w:type="paragraph" w:styleId="4">
    <w:name w:val="Body Text Indent"/>
    <w:basedOn w:val="1"/>
    <w:next w:val="5"/>
    <w:unhideWhenUsed/>
    <w:qFormat/>
    <w:uiPriority w:val="99"/>
    <w:pPr>
      <w:spacing w:after="120"/>
      <w:ind w:left="420" w:leftChars="200"/>
    </w:pPr>
  </w:style>
  <w:style w:type="paragraph" w:styleId="5">
    <w:name w:val="Body Text First Indent 2"/>
    <w:basedOn w:val="4"/>
    <w:next w:val="1"/>
    <w:unhideWhenUsed/>
    <w:qFormat/>
    <w:uiPriority w:val="99"/>
    <w:pPr>
      <w:spacing w:before="100" w:beforeAutospacing="1"/>
      <w:ind w:firstLine="420" w:firstLineChars="200"/>
    </w:pPr>
    <w:rPr>
      <w:rFonts w:ascii="Calibri" w:hAnsi="Calibri" w:eastAsia="宋体" w:cs="宋体"/>
      <w:szCs w:val="21"/>
    </w:rPr>
  </w:style>
  <w:style w:type="paragraph" w:styleId="6">
    <w:name w:val="toc 1"/>
    <w:basedOn w:val="1"/>
    <w:next w:val="1"/>
    <w:qFormat/>
    <w:uiPriority w:val="0"/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</w:rPr>
  </w:style>
  <w:style w:type="table" w:styleId="9">
    <w:name w:val="Table Grid"/>
    <w:basedOn w:val="8"/>
    <w:qFormat/>
    <w:uiPriority w:val="5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968</Words>
  <Characters>1029</Characters>
  <Lines>0</Lines>
  <Paragraphs>0</Paragraphs>
  <TotalTime>15</TotalTime>
  <ScaleCrop>false</ScaleCrop>
  <LinksUpToDate>false</LinksUpToDate>
  <CharactersWithSpaces>1035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2026-06-24T10:00:00Z</dcterms:created>
  <dc:creator>user</dc:creator>
  <cp:lastModifiedBy>岳朗</cp:lastModifiedBy>
  <dcterms:modified xsi:type="dcterms:W3CDTF">2026-06-25T03:46:24Z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KSOTemplateDocerSaveRecord">
    <vt:lpwstr>eyJoZGlkIjoiNWMyOTVhNjg3MzkxZDFmYWEzNjUxZjk5MzRjODU4MGQiLCJ1c2VySWQiOiI0MzgxODgwNzQifQ==</vt:lpwstr>
  </property>
  <property fmtid="{D5CDD505-2E9C-101B-9397-08002B2CF9AE}" pid="4" name="ICV">
    <vt:lpwstr>D2991841A8EC4E6BBD0ABB7FC547281C_13</vt:lpwstr>
  </property>
</Properties>
</file>